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D82533">
        <w:t>22</w:t>
      </w:r>
      <w:r w:rsidRPr="009427C4">
        <w:t xml:space="preserve">» </w:t>
      </w:r>
      <w:r w:rsidR="00D82533">
        <w:t>декабря</w:t>
      </w:r>
      <w:r w:rsidRPr="009427C4">
        <w:t xml:space="preserve"> 201</w:t>
      </w:r>
      <w:r w:rsidR="004348D9" w:rsidRPr="009427C4">
        <w:t>7</w:t>
      </w:r>
      <w:r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D82533">
        <w:t>22 декабря</w:t>
      </w:r>
      <w:r w:rsidR="004348D9" w:rsidRPr="009427C4">
        <w:t xml:space="preserve"> 2017</w:t>
      </w:r>
      <w:r w:rsidRPr="009427C4">
        <w:t xml:space="preserve"> г.</w:t>
      </w:r>
      <w:r w:rsidR="00B26692">
        <w:t xml:space="preserve"> 13 час. 00 мин.</w:t>
      </w:r>
    </w:p>
    <w:p w:rsidR="00706412" w:rsidRPr="009427C4" w:rsidRDefault="00706412" w:rsidP="00706412">
      <w:pPr>
        <w:rPr>
          <w:b/>
        </w:rPr>
      </w:pPr>
    </w:p>
    <w:p w:rsidR="00D82533" w:rsidRDefault="00D82533" w:rsidP="00D82533">
      <w:pPr>
        <w:jc w:val="both"/>
      </w:pPr>
      <w:r>
        <w:t xml:space="preserve">Повестка дня: </w:t>
      </w:r>
      <w:r w:rsidRPr="00AF5BD5">
        <w:t xml:space="preserve">Рассмотрение </w:t>
      </w:r>
      <w:r>
        <w:t xml:space="preserve">комиссией </w:t>
      </w:r>
      <w:r w:rsidRPr="00AF5BD5">
        <w:t>заявок на участие в аукционе</w:t>
      </w:r>
      <w:r>
        <w:t>, назначенном на 25 декабря</w:t>
      </w:r>
      <w:r w:rsidRPr="00B3112E">
        <w:t xml:space="preserve"> 2017 </w:t>
      </w:r>
      <w:r w:rsidR="000944F7">
        <w:t>г. 09</w:t>
      </w:r>
      <w:r w:rsidRPr="00B3112E">
        <w:t xml:space="preserve"> час 00 мин.</w:t>
      </w:r>
      <w:r>
        <w:t>,</w:t>
      </w:r>
      <w:r w:rsidRPr="00B3112E">
        <w:t xml:space="preserve"> </w:t>
      </w:r>
      <w:r>
        <w:t xml:space="preserve">в форме открытого по составу </w:t>
      </w:r>
      <w:r w:rsidRPr="00F3446C">
        <w:t>участников и открытого по форме подачи предло</w:t>
      </w:r>
      <w:r>
        <w:t xml:space="preserve">жений о цене земельного участка, находящегося в </w:t>
      </w:r>
      <w:r w:rsidR="000944F7">
        <w:t>муниципальной собственности городского округа город Кулебаки Нижегородской области</w:t>
      </w:r>
      <w:r>
        <w:t>.</w:t>
      </w:r>
    </w:p>
    <w:p w:rsidR="00D82533" w:rsidRPr="00B3112E" w:rsidRDefault="00D82533" w:rsidP="00D82533">
      <w:pPr>
        <w:jc w:val="both"/>
      </w:pPr>
      <w:r w:rsidRPr="00B3112E">
        <w:t xml:space="preserve">Лот №1. Характеристика земельного участка: </w:t>
      </w:r>
    </w:p>
    <w:p w:rsidR="00D82533" w:rsidRPr="00710767" w:rsidRDefault="00D82533" w:rsidP="00D82533">
      <w:pPr>
        <w:pStyle w:val="31"/>
        <w:spacing w:after="0"/>
        <w:ind w:left="0"/>
        <w:jc w:val="both"/>
        <w:rPr>
          <w:b/>
          <w:sz w:val="24"/>
          <w:szCs w:val="24"/>
        </w:rPr>
      </w:pPr>
      <w:r w:rsidRPr="00710767">
        <w:rPr>
          <w:sz w:val="24"/>
          <w:szCs w:val="24"/>
        </w:rPr>
        <w:t xml:space="preserve">Месторасположение: </w:t>
      </w:r>
      <w:r w:rsidRPr="00710767">
        <w:rPr>
          <w:b/>
          <w:sz w:val="24"/>
          <w:szCs w:val="24"/>
        </w:rPr>
        <w:t xml:space="preserve">Нижегородская область, г.Кулебаки, ул. </w:t>
      </w:r>
      <w:r>
        <w:rPr>
          <w:b/>
          <w:sz w:val="24"/>
          <w:szCs w:val="24"/>
        </w:rPr>
        <w:t>Труда, д.3а;</w:t>
      </w:r>
    </w:p>
    <w:p w:rsidR="00D82533" w:rsidRPr="00710767" w:rsidRDefault="00D82533" w:rsidP="00D82533">
      <w:pPr>
        <w:jc w:val="both"/>
      </w:pPr>
      <w:r w:rsidRPr="00710767">
        <w:t xml:space="preserve">Категория земель: </w:t>
      </w:r>
      <w:r w:rsidRPr="007D2A9B">
        <w:rPr>
          <w:b/>
        </w:rPr>
        <w:t>земли населенных пунктов</w:t>
      </w:r>
      <w:r w:rsidRPr="00710767">
        <w:t>;</w:t>
      </w:r>
    </w:p>
    <w:p w:rsidR="00D82533" w:rsidRPr="00710767" w:rsidRDefault="00D82533" w:rsidP="00D82533">
      <w:pPr>
        <w:jc w:val="both"/>
      </w:pPr>
      <w:r w:rsidRPr="00710767">
        <w:t xml:space="preserve">Кадастровый номер: </w:t>
      </w:r>
      <w:r w:rsidRPr="00710767">
        <w:rPr>
          <w:b/>
        </w:rPr>
        <w:t>52:38:00</w:t>
      </w:r>
      <w:r>
        <w:rPr>
          <w:b/>
        </w:rPr>
        <w:t>2</w:t>
      </w:r>
      <w:r w:rsidRPr="00710767">
        <w:rPr>
          <w:b/>
        </w:rPr>
        <w:t>000</w:t>
      </w:r>
      <w:r>
        <w:rPr>
          <w:b/>
        </w:rPr>
        <w:t>2</w:t>
      </w:r>
      <w:r w:rsidRPr="00710767">
        <w:rPr>
          <w:b/>
        </w:rPr>
        <w:t>:</w:t>
      </w:r>
      <w:r>
        <w:rPr>
          <w:b/>
        </w:rPr>
        <w:t>746</w:t>
      </w:r>
      <w:r w:rsidRPr="00710767">
        <w:t xml:space="preserve">; </w:t>
      </w:r>
    </w:p>
    <w:p w:rsidR="00D82533" w:rsidRPr="007D2A9B" w:rsidRDefault="00D82533" w:rsidP="00D82533">
      <w:pPr>
        <w:jc w:val="both"/>
        <w:rPr>
          <w:b/>
        </w:rPr>
      </w:pPr>
      <w:r w:rsidRPr="00710767">
        <w:t xml:space="preserve">Площадь земельного участка </w:t>
      </w:r>
      <w:r>
        <w:rPr>
          <w:b/>
        </w:rPr>
        <w:t>901</w:t>
      </w:r>
      <w:r w:rsidRPr="00710767">
        <w:t xml:space="preserve"> </w:t>
      </w:r>
      <w:r w:rsidRPr="007D2A9B">
        <w:rPr>
          <w:b/>
        </w:rPr>
        <w:t>кв.м.;</w:t>
      </w:r>
    </w:p>
    <w:p w:rsidR="00D82533" w:rsidRPr="00D82533" w:rsidRDefault="00D82533" w:rsidP="00D82533">
      <w:pPr>
        <w:jc w:val="both"/>
        <w:rPr>
          <w:b/>
        </w:rPr>
      </w:pPr>
      <w:r w:rsidRPr="00710767">
        <w:t>Вид разрешенного использования –</w:t>
      </w:r>
      <w:r>
        <w:t xml:space="preserve"> </w:t>
      </w:r>
      <w:r w:rsidRPr="00D82533">
        <w:rPr>
          <w:b/>
        </w:rPr>
        <w:t>отдельно стоящие односемейные дома с приусадебными участками;</w:t>
      </w:r>
    </w:p>
    <w:p w:rsidR="00D82533" w:rsidRDefault="00D82533" w:rsidP="00D82533">
      <w:pPr>
        <w:jc w:val="both"/>
      </w:pPr>
      <w:r w:rsidRPr="00710767">
        <w:t xml:space="preserve">Целевое назначение- </w:t>
      </w:r>
      <w:r w:rsidRPr="00D82533">
        <w:rPr>
          <w:b/>
        </w:rPr>
        <w:t>для индивидуального жилищного строительства</w:t>
      </w:r>
      <w:r>
        <w:t>;</w:t>
      </w:r>
    </w:p>
    <w:p w:rsidR="00D82533" w:rsidRPr="00710767" w:rsidRDefault="00D82533" w:rsidP="00D82533">
      <w:pPr>
        <w:jc w:val="both"/>
      </w:pPr>
      <w:r w:rsidRPr="00710767">
        <w:t xml:space="preserve">Вид приобретаемого права: </w:t>
      </w:r>
      <w:r w:rsidRPr="00710767">
        <w:rPr>
          <w:b/>
        </w:rPr>
        <w:t>собственность</w:t>
      </w:r>
      <w:r>
        <w:rPr>
          <w:b/>
        </w:rPr>
        <w:t>;</w:t>
      </w:r>
    </w:p>
    <w:p w:rsidR="00D82533" w:rsidRPr="0092114E" w:rsidRDefault="00D82533" w:rsidP="00D82533">
      <w:pPr>
        <w:pStyle w:val="31"/>
        <w:spacing w:after="0"/>
        <w:ind w:left="0"/>
        <w:jc w:val="both"/>
        <w:rPr>
          <w:sz w:val="24"/>
        </w:rPr>
      </w:pPr>
      <w:r w:rsidRPr="00710767">
        <w:rPr>
          <w:sz w:val="24"/>
        </w:rPr>
        <w:t>Начальная цена земельного участка</w:t>
      </w:r>
      <w:r w:rsidRPr="0092114E">
        <w:rPr>
          <w:sz w:val="24"/>
        </w:rPr>
        <w:t xml:space="preserve"> –</w:t>
      </w:r>
      <w:r>
        <w:rPr>
          <w:sz w:val="24"/>
        </w:rPr>
        <w:t xml:space="preserve"> </w:t>
      </w:r>
      <w:r w:rsidRPr="00710767">
        <w:rPr>
          <w:b/>
          <w:sz w:val="24"/>
        </w:rPr>
        <w:t>3</w:t>
      </w:r>
      <w:r>
        <w:rPr>
          <w:b/>
          <w:sz w:val="24"/>
        </w:rPr>
        <w:t>20000</w:t>
      </w:r>
      <w:r>
        <w:rPr>
          <w:sz w:val="24"/>
        </w:rPr>
        <w:t xml:space="preserve"> (Триста двадцать тысяч) рублей 00 копеек;</w:t>
      </w:r>
    </w:p>
    <w:p w:rsidR="00D82533" w:rsidRDefault="00D82533" w:rsidP="00D82533">
      <w:pPr>
        <w:pStyle w:val="a4"/>
        <w:ind w:right="-144"/>
      </w:pPr>
      <w:r>
        <w:rPr>
          <w:b/>
        </w:rPr>
        <w:t>Размер задатка – 100 000</w:t>
      </w:r>
      <w:r>
        <w:t xml:space="preserve"> (Сто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="000944F7" w:rsidRPr="000944F7">
        <w:rPr>
          <w:b/>
        </w:rPr>
        <w:t>3200</w:t>
      </w:r>
      <w:r w:rsidRPr="00CE526B">
        <w:rPr>
          <w:b/>
        </w:rPr>
        <w:t xml:space="preserve"> </w:t>
      </w:r>
      <w:r w:rsidRPr="00A8033B">
        <w:t>(</w:t>
      </w:r>
      <w:r>
        <w:t>Три тысяч</w:t>
      </w:r>
      <w:r w:rsidR="000944F7">
        <w:t>и двести</w:t>
      </w:r>
      <w:r w:rsidRPr="00A8033B">
        <w:t>) рублей</w:t>
      </w:r>
      <w:r>
        <w:t>.</w:t>
      </w:r>
    </w:p>
    <w:p w:rsidR="000944F7" w:rsidRDefault="000944F7" w:rsidP="000944F7">
      <w:pPr>
        <w:ind w:left="-142" w:firstLine="426"/>
        <w:jc w:val="both"/>
      </w:pPr>
      <w:r w:rsidRPr="00B355C1">
        <w:t>Параметры разрешенного строительства</w:t>
      </w:r>
      <w:r>
        <w:t xml:space="preserve"> объекта капитального строительства:- строительство 2 этажного жилого дома с мансардным этажом. </w:t>
      </w:r>
    </w:p>
    <w:p w:rsidR="000944F7" w:rsidRDefault="000944F7" w:rsidP="000944F7">
      <w:pPr>
        <w:pStyle w:val="a4"/>
        <w:ind w:left="-142" w:right="-144" w:firstLine="426"/>
        <w:rPr>
          <w:b/>
        </w:rPr>
      </w:pPr>
      <w:r>
        <w:rPr>
          <w:b/>
        </w:rPr>
        <w:t>Технические условия подключения на земельный участок:</w:t>
      </w:r>
    </w:p>
    <w:p w:rsidR="000944F7" w:rsidRPr="00A8033B" w:rsidRDefault="000944F7" w:rsidP="000944F7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20.10.2017г. №ННЭ/ННЭ/09/246;</w:t>
      </w:r>
    </w:p>
    <w:p w:rsidR="000944F7" w:rsidRPr="0063266E" w:rsidRDefault="000944F7" w:rsidP="000944F7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30.10.2017</w:t>
      </w:r>
      <w:r w:rsidRPr="0063266E">
        <w:t>г. №</w:t>
      </w:r>
      <w:r>
        <w:t>0716-20-117</w:t>
      </w:r>
      <w:r w:rsidRPr="0063266E">
        <w:t>;</w:t>
      </w:r>
    </w:p>
    <w:p w:rsidR="000944F7" w:rsidRPr="0063266E" w:rsidRDefault="000944F7" w:rsidP="000944F7">
      <w:pPr>
        <w:pStyle w:val="a4"/>
        <w:ind w:left="-142" w:right="-144" w:firstLine="426"/>
      </w:pPr>
      <w:r>
        <w:t>Технической возможности подключения к сетям водоснабжения и водоотведения не имеется, письмо МУП «</w:t>
      </w:r>
      <w:proofErr w:type="spellStart"/>
      <w:r>
        <w:t>Райводоканал</w:t>
      </w:r>
      <w:proofErr w:type="spellEnd"/>
      <w:r>
        <w:t xml:space="preserve">» от 07.11.2017г. № 1062. </w:t>
      </w:r>
    </w:p>
    <w:p w:rsidR="00D82533" w:rsidRPr="00B3112E" w:rsidRDefault="00D82533" w:rsidP="00D82533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Pr="00B3112E">
        <w:tab/>
      </w:r>
    </w:p>
    <w:p w:rsidR="00D82533" w:rsidRPr="00B3112E" w:rsidRDefault="00D82533" w:rsidP="00D82533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 xml:space="preserve">Борисова А.В. –председатель КУМИ; </w:t>
      </w:r>
    </w:p>
    <w:p w:rsidR="00D82533" w:rsidRDefault="00D82533" w:rsidP="00D82533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 начальник сектора по имущественным вопросам КУМИ;</w:t>
      </w:r>
    </w:p>
    <w:p w:rsidR="00D82533" w:rsidRPr="00B3112E" w:rsidRDefault="00D82533" w:rsidP="00D8253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D82533" w:rsidRDefault="00D82533" w:rsidP="00D82533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  <w:r>
        <w:rPr>
          <w:sz w:val="24"/>
          <w:szCs w:val="24"/>
        </w:rPr>
        <w:t>;</w:t>
      </w:r>
    </w:p>
    <w:p w:rsidR="00D82533" w:rsidRPr="00B3112E" w:rsidRDefault="00D82533" w:rsidP="00D82533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КУМИ.</w:t>
      </w:r>
    </w:p>
    <w:p w:rsidR="00D82533" w:rsidRPr="00B3112E" w:rsidRDefault="00D82533" w:rsidP="00D82533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D82533" w:rsidRPr="00B3112E" w:rsidTr="00D825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4A0F43" w:rsidRDefault="00D82533" w:rsidP="00D82533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D82533" w:rsidRPr="00B3112E" w:rsidTr="00D825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D82533" w:rsidRPr="00B3112E" w:rsidTr="00D8253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0944F7" w:rsidP="00D82533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533" w:rsidRPr="00B3112E" w:rsidRDefault="00D82533" w:rsidP="00D82533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D82533" w:rsidRPr="00B3112E" w:rsidRDefault="00D82533" w:rsidP="00D82533">
      <w:pPr>
        <w:ind w:firstLine="708"/>
        <w:jc w:val="both"/>
      </w:pPr>
      <w:r w:rsidRPr="00B3112E">
        <w:t xml:space="preserve">Претенденты, отозвавшие заявки (с указанием даты отзыва): нет   </w:t>
      </w:r>
    </w:p>
    <w:p w:rsidR="000944F7" w:rsidRDefault="000944F7" w:rsidP="00D82533">
      <w:pPr>
        <w:autoSpaceDE w:val="0"/>
        <w:autoSpaceDN w:val="0"/>
        <w:adjustRightInd w:val="0"/>
        <w:ind w:firstLine="540"/>
        <w:jc w:val="both"/>
      </w:pPr>
    </w:p>
    <w:p w:rsidR="000944F7" w:rsidRDefault="00D82533" w:rsidP="00D82533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Pr="00F3446C">
        <w:t>В соответствии с</w:t>
      </w:r>
      <w:r>
        <w:t xml:space="preserve"> пп.9, 14</w:t>
      </w:r>
      <w:r w:rsidRPr="00F3446C">
        <w:t xml:space="preserve"> ст. 39.12 ЗК РФ призна</w:t>
      </w:r>
      <w:r>
        <w:t>ть</w:t>
      </w:r>
      <w:r w:rsidR="000944F7">
        <w:t xml:space="preserve"> аукцион несостоявшимся</w:t>
      </w:r>
      <w:r w:rsidR="000944F7" w:rsidRPr="000944F7">
        <w:t xml:space="preserve"> </w:t>
      </w:r>
      <w:r w:rsidR="000944F7">
        <w:t>ввиду отсутствия поданных заявок.</w:t>
      </w:r>
    </w:p>
    <w:p w:rsidR="000944F7" w:rsidRPr="009427C4" w:rsidRDefault="000944F7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944F7"/>
    <w:rsid w:val="000B4B04"/>
    <w:rsid w:val="000C730A"/>
    <w:rsid w:val="000D64F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15C19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B016F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2533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2017-12-21T08:58:00Z</cp:lastPrinted>
  <dcterms:created xsi:type="dcterms:W3CDTF">2004-09-01T05:47:00Z</dcterms:created>
  <dcterms:modified xsi:type="dcterms:W3CDTF">2017-12-21T09:00:00Z</dcterms:modified>
</cp:coreProperties>
</file>